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7841319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MUNICIPIILOR - </w:t>
      </w:r>
      <w:r w:rsidR="0069433A" w:rsidRPr="0069433A">
        <w:rPr>
          <w:rFonts w:cstheme="minorHAnsi"/>
          <w:b/>
          <w:bCs/>
          <w:sz w:val="24"/>
          <w:szCs w:val="24"/>
        </w:rPr>
        <w:t>PR SV/M</w:t>
      </w:r>
      <w:r w:rsidR="007D48ED">
        <w:rPr>
          <w:rFonts w:cstheme="minorHAnsi"/>
          <w:b/>
          <w:bCs/>
          <w:sz w:val="24"/>
          <w:szCs w:val="24"/>
        </w:rPr>
        <w:t>unicipii</w:t>
      </w:r>
      <w:r w:rsidR="0069433A" w:rsidRPr="0069433A">
        <w:rPr>
          <w:rFonts w:cstheme="minorHAnsi"/>
          <w:b/>
          <w:bCs/>
          <w:sz w:val="24"/>
          <w:szCs w:val="24"/>
        </w:rPr>
        <w:t>/4/2.8/2023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08C15D82"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 xml:space="preserve"> Autoritățile și instituțiile publice locale:</w:t>
      </w:r>
    </w:p>
    <w:p w14:paraId="5567669B" w14:textId="6A415967" w:rsidR="004A25A2" w:rsidRPr="009C2C0F" w:rsidRDefault="007967A8" w:rsidP="00172010">
      <w:pPr>
        <w:spacing w:before="120" w:after="60" w:line="276" w:lineRule="auto"/>
        <w:ind w:firstLine="630"/>
        <w:rPr>
          <w:rFonts w:cstheme="minorHAnsi"/>
          <w:iCs/>
          <w:sz w:val="24"/>
          <w:szCs w:val="24"/>
          <w:lang w:val="en-US" w:eastAsia="sk-SK"/>
        </w:rPr>
      </w:pPr>
      <w:r>
        <w:rPr>
          <w:rFonts w:cstheme="minorHAnsi"/>
          <w:iCs/>
          <w:sz w:val="24"/>
          <w:szCs w:val="24"/>
          <w:lang w:eastAsia="sk-SK"/>
        </w:rPr>
        <w:t xml:space="preserve">• </w:t>
      </w:r>
      <w:r w:rsidR="00F32768">
        <w:rPr>
          <w:rFonts w:cstheme="minorHAnsi"/>
          <w:iCs/>
          <w:sz w:val="24"/>
          <w:szCs w:val="24"/>
          <w:lang w:eastAsia="sk-SK"/>
        </w:rPr>
        <w:t xml:space="preserve">    </w:t>
      </w:r>
      <w:r w:rsidR="00F15C00" w:rsidRPr="00F15C00">
        <w:rPr>
          <w:rFonts w:cstheme="minorHAnsi"/>
          <w:iCs/>
          <w:sz w:val="24"/>
          <w:szCs w:val="24"/>
          <w:lang w:eastAsia="sk-SK"/>
        </w:rPr>
        <w:t>Unitatea administrativ-teritorială (UAT) municipiul, definită conform prevederilor OUG nr. 57/2019 privind Codul administrativ, cu modificările şi completările ulterioare și ale Legii nr. 2 din 16 februarie 1968 privind organizarea administrativă a teritoriului României (art. 4 (5</w:t>
      </w:r>
      <w:r w:rsidR="00F15C00">
        <w:rPr>
          <w:rFonts w:cstheme="minorHAnsi"/>
          <w:iCs/>
          <w:sz w:val="24"/>
          <w:szCs w:val="24"/>
          <w:lang w:eastAsia="sk-SK"/>
        </w:rPr>
        <w:t>))</w:t>
      </w:r>
      <w:r w:rsidR="009C2C0F">
        <w:rPr>
          <w:rFonts w:cstheme="minorHAnsi"/>
          <w:iCs/>
          <w:sz w:val="24"/>
          <w:szCs w:val="24"/>
          <w:lang w:val="en-US" w:eastAsia="sk-SK"/>
        </w:rPr>
        <w:t>;</w:t>
      </w:r>
    </w:p>
    <w:p w14:paraId="2E21CD53" w14:textId="77777777"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411E893E" w14:textId="77777777" w:rsidR="00F32768" w:rsidRPr="00F32768" w:rsidRDefault="004A1CBF" w:rsidP="00F32768">
      <w:pPr>
        <w:spacing w:before="120" w:after="60" w:line="276" w:lineRule="auto"/>
        <w:ind w:firstLine="630"/>
        <w:rPr>
          <w:rFonts w:cstheme="minorHAnsi"/>
          <w:iCs/>
          <w:sz w:val="24"/>
          <w:szCs w:val="24"/>
          <w:lang w:eastAsia="sk-SK"/>
        </w:rPr>
      </w:pPr>
      <w:r w:rsidRPr="00DA748C">
        <w:rPr>
          <w:rFonts w:cstheme="minorHAnsi"/>
          <w:iCs/>
          <w:sz w:val="24"/>
          <w:szCs w:val="24"/>
          <w:lang w:eastAsia="sk-SK"/>
        </w:rPr>
        <w:tab/>
        <w:t xml:space="preserve"> </w:t>
      </w:r>
      <w:r w:rsidR="00F32768" w:rsidRPr="00F32768">
        <w:rPr>
          <w:rFonts w:cstheme="minorHAnsi"/>
          <w:iCs/>
          <w:sz w:val="24"/>
          <w:szCs w:val="24"/>
          <w:lang w:eastAsia="sk-SK"/>
        </w:rPr>
        <w:t>UAT municipiul în calitate de lider și UAT oraș/comuna din zona urbană funcţională, aflate în vecinătatea teritorială a acestuia (dacă zona de intervenție a proiectului este situată atât pe teritoriul municipiului cât și pe teritoriul unei/unor orașe/comune din zona de intervenție definită în cadrul SIDU aferentă municipiului).</w:t>
      </w:r>
    </w:p>
    <w:p w14:paraId="4C4E2DB9" w14:textId="1E88475D" w:rsidR="004A1CBF" w:rsidRPr="00DA748C" w:rsidRDefault="00F32768" w:rsidP="00F32768">
      <w:pPr>
        <w:spacing w:before="120" w:after="60" w:line="276" w:lineRule="auto"/>
        <w:ind w:firstLine="630"/>
        <w:rPr>
          <w:rFonts w:cstheme="minorHAnsi"/>
          <w:iCs/>
          <w:sz w:val="24"/>
          <w:szCs w:val="24"/>
          <w:lang w:eastAsia="sk-SK"/>
        </w:rPr>
      </w:pPr>
      <w:r w:rsidRPr="00F32768">
        <w:rPr>
          <w:rFonts w:cstheme="minorHAnsi"/>
          <w:iCs/>
          <w:sz w:val="24"/>
          <w:szCs w:val="24"/>
          <w:lang w:eastAsia="sk-SK"/>
        </w:rPr>
        <w:t>UAT Municipiu în calitate de lider de parteneriat și UAT Județ (în care unitatea administrativ-teritorială municipiul este situată).</w:t>
      </w:r>
    </w:p>
    <w:bookmarkStart w:id="2" w:name="_Hlk156377318"/>
    <w:p w14:paraId="1379ED9F" w14:textId="109B0003" w:rsidR="00E26001" w:rsidRDefault="007369B9" w:rsidP="00172010">
      <w:pPr>
        <w:spacing w:before="120" w:after="60" w:line="276" w:lineRule="auto"/>
        <w:ind w:firstLine="630"/>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E26001" w:rsidRPr="00095BED">
        <w:rPr>
          <w:rFonts w:cstheme="minorHAnsi"/>
          <w:b/>
          <w:iCs/>
          <w:sz w:val="24"/>
          <w:u w:val="single"/>
          <w:lang w:eastAsia="sk-SK"/>
        </w:rPr>
        <w:t xml:space="preserve">Cerinta 2. </w:t>
      </w:r>
      <w:r w:rsidR="00550296" w:rsidRPr="00C91392">
        <w:rPr>
          <w:rFonts w:cstheme="minorHAnsi"/>
          <w:b/>
          <w:iCs/>
          <w:sz w:val="24"/>
          <w:u w:val="single"/>
          <w:lang w:eastAsia="sk-SK"/>
        </w:rPr>
        <w:t>Drepturi asupra bunurilor imobile obiect al proiectului</w:t>
      </w:r>
    </w:p>
    <w:p w14:paraId="568126BD" w14:textId="36DC34DF" w:rsidR="004A1CBF" w:rsidRDefault="00C91392" w:rsidP="00E26001">
      <w:pPr>
        <w:pStyle w:val="bullet"/>
        <w:numPr>
          <w:ilvl w:val="0"/>
          <w:numId w:val="0"/>
        </w:numPr>
        <w:spacing w:before="0" w:after="0"/>
        <w:ind w:left="630"/>
        <w:rPr>
          <w:rFonts w:asciiTheme="minorHAnsi" w:hAnsiTheme="minorHAnsi" w:cstheme="minorHAnsi"/>
          <w:snapToGrid w:val="0"/>
          <w:sz w:val="24"/>
        </w:rPr>
      </w:pPr>
      <w:r w:rsidRPr="000B2F62">
        <w:rPr>
          <w:rFonts w:asciiTheme="minorHAnsi" w:hAnsiTheme="minorHAnsi" w:cstheme="minorHAnsi"/>
          <w:snapToGrid w:val="0"/>
          <w:sz w:val="24"/>
        </w:rPr>
        <w:lastRenderedPageBreak/>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6A96EC59" w14:textId="77777777" w:rsidR="00A167E4" w:rsidRDefault="00A167E4" w:rsidP="00E26001">
      <w:pPr>
        <w:pStyle w:val="bullet"/>
        <w:numPr>
          <w:ilvl w:val="0"/>
          <w:numId w:val="0"/>
        </w:numPr>
        <w:spacing w:before="0" w:after="0"/>
        <w:ind w:left="630"/>
        <w:rPr>
          <w:rFonts w:asciiTheme="minorHAnsi" w:hAnsiTheme="minorHAnsi" w:cstheme="minorHAnsi"/>
          <w:snapToGrid w:val="0"/>
          <w:sz w:val="24"/>
        </w:rPr>
      </w:pPr>
    </w:p>
    <w:p w14:paraId="06028F84" w14:textId="77777777" w:rsidR="00A167E4" w:rsidRPr="00095BED" w:rsidRDefault="00A167E4" w:rsidP="00A167E4">
      <w:pPr>
        <w:pStyle w:val="bullet"/>
        <w:numPr>
          <w:ilvl w:val="0"/>
          <w:numId w:val="0"/>
        </w:numPr>
        <w:spacing w:before="0" w:after="0"/>
        <w:ind w:left="630"/>
        <w:jc w:val="center"/>
        <w:rPr>
          <w:rFonts w:asciiTheme="minorHAnsi" w:hAnsiTheme="minorHAnsi" w:cstheme="minorHAnsi"/>
          <w:b/>
          <w:iCs/>
          <w:sz w:val="24"/>
          <w:u w:val="single"/>
          <w:lang w:eastAsia="sk-SK"/>
        </w:rPr>
      </w:pPr>
    </w:p>
    <w:p w14:paraId="2B486A89" w14:textId="1C240B7A" w:rsidR="00A167E4" w:rsidRDefault="00A167E4" w:rsidP="00A167E4">
      <w:pPr>
        <w:pStyle w:val="bullet"/>
        <w:numPr>
          <w:ilvl w:val="0"/>
          <w:numId w:val="0"/>
        </w:numPr>
        <w:spacing w:before="0" w:after="0"/>
        <w:ind w:left="630"/>
        <w:rPr>
          <w:rFonts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 xml:space="preserve">Cerinta </w:t>
      </w:r>
      <w:r>
        <w:rPr>
          <w:rFonts w:asciiTheme="minorHAnsi" w:hAnsiTheme="minorHAnsi" w:cstheme="minorHAnsi"/>
          <w:b/>
          <w:iCs/>
          <w:sz w:val="24"/>
          <w:u w:val="single"/>
          <w:lang w:eastAsia="sk-SK"/>
        </w:rPr>
        <w:t>3</w:t>
      </w:r>
      <w:r w:rsidRPr="00095BED">
        <w:rPr>
          <w:rFonts w:asciiTheme="minorHAnsi" w:hAnsiTheme="minorHAnsi" w:cstheme="minorHAnsi"/>
          <w:b/>
          <w:iCs/>
          <w:sz w:val="24"/>
          <w:u w:val="single"/>
          <w:lang w:eastAsia="sk-SK"/>
        </w:rPr>
        <w:t xml:space="preserve">. </w:t>
      </w:r>
      <w:r>
        <w:rPr>
          <w:rFonts w:asciiTheme="minorHAnsi" w:hAnsiTheme="minorHAnsi" w:cstheme="minorHAnsi"/>
          <w:b/>
          <w:iCs/>
          <w:sz w:val="24"/>
          <w:u w:val="single"/>
          <w:lang w:eastAsia="sk-SK"/>
        </w:rPr>
        <w:t>Sarcin</w:t>
      </w:r>
      <w:r w:rsidRPr="00C91392">
        <w:rPr>
          <w:rFonts w:asciiTheme="minorHAnsi" w:hAnsiTheme="minorHAnsi" w:cstheme="minorHAnsi"/>
          <w:b/>
          <w:iCs/>
          <w:sz w:val="24"/>
          <w:u w:val="single"/>
          <w:lang w:eastAsia="sk-SK"/>
        </w:rPr>
        <w:t>i asupra bunurilor imobile obiect al proiectului</w:t>
      </w:r>
    </w:p>
    <w:p w14:paraId="142BCA5C" w14:textId="77777777" w:rsidR="00A167E4" w:rsidRDefault="00A167E4" w:rsidP="00A167E4">
      <w:pPr>
        <w:pStyle w:val="bullet"/>
        <w:numPr>
          <w:ilvl w:val="0"/>
          <w:numId w:val="0"/>
        </w:numPr>
        <w:spacing w:before="0" w:after="0"/>
        <w:ind w:left="630"/>
        <w:rPr>
          <w:rFonts w:asciiTheme="minorHAnsi" w:hAnsiTheme="minorHAnsi" w:cstheme="minorHAnsi"/>
          <w:b/>
          <w:iCs/>
          <w:sz w:val="24"/>
          <w:u w:val="single"/>
          <w:lang w:eastAsia="sk-SK"/>
        </w:rPr>
      </w:pPr>
    </w:p>
    <w:p w14:paraId="6EFEF4ED" w14:textId="77777777" w:rsidR="00A167E4" w:rsidRPr="00DD4092" w:rsidRDefault="00A167E4" w:rsidP="00A167E4">
      <w:pPr>
        <w:spacing w:after="0" w:line="276" w:lineRule="auto"/>
        <w:ind w:left="426" w:right="-138"/>
        <w:jc w:val="both"/>
        <w:rPr>
          <w:rFonts w:cstheme="minorHAnsi"/>
          <w:bCs/>
          <w:snapToGrid w:val="0"/>
          <w:sz w:val="24"/>
          <w:szCs w:val="24"/>
        </w:rPr>
      </w:pPr>
      <w:r w:rsidRPr="00DD4092">
        <w:rPr>
          <w:rFonts w:cstheme="minorHAnsi"/>
          <w:bCs/>
          <w:snapToGrid w:val="0"/>
          <w:sz w:val="24"/>
          <w:szCs w:val="24"/>
        </w:rPr>
        <w:t xml:space="preserve">Pentru proiectele de investiţii publice pentru care este necesară obţinerea autorizaţiei de construire, </w:t>
      </w:r>
      <w:r>
        <w:rPr>
          <w:rFonts w:cstheme="minorHAnsi"/>
          <w:bCs/>
          <w:snapToGrid w:val="0"/>
          <w:sz w:val="24"/>
          <w:szCs w:val="24"/>
        </w:rPr>
        <w:t>b</w:t>
      </w:r>
      <w:r w:rsidRPr="00DD4092">
        <w:rPr>
          <w:rFonts w:cstheme="minorHAnsi"/>
          <w:bCs/>
          <w:snapToGrid w:val="0"/>
          <w:sz w:val="24"/>
          <w:szCs w:val="24"/>
        </w:rPr>
        <w:t>unurile imobile care fac obiectul cererii de finanţare îndeplinesc</w:t>
      </w:r>
      <w:r>
        <w:rPr>
          <w:rFonts w:cstheme="minorHAnsi"/>
          <w:bCs/>
          <w:snapToGrid w:val="0"/>
          <w:sz w:val="24"/>
          <w:szCs w:val="24"/>
        </w:rPr>
        <w:t>/vor îndeplini</w:t>
      </w:r>
      <w:r w:rsidRPr="00DD4092">
        <w:rPr>
          <w:rFonts w:cstheme="minorHAnsi"/>
          <w:bCs/>
          <w:snapToGrid w:val="0"/>
          <w:sz w:val="24"/>
          <w:szCs w:val="24"/>
        </w:rPr>
        <w:t>, în mod cumulativ, nu mai târziu de semnarea contractului de finanţare /emiterea deciziei de finanţare, după caz, următoarele condiţii:</w:t>
      </w:r>
    </w:p>
    <w:p w14:paraId="46070934" w14:textId="77777777" w:rsidR="00A167E4" w:rsidRPr="00DD4092" w:rsidRDefault="00A167E4" w:rsidP="00A167E4">
      <w:pPr>
        <w:spacing w:after="0" w:line="276" w:lineRule="auto"/>
        <w:ind w:left="426" w:right="-138"/>
        <w:jc w:val="both"/>
        <w:rPr>
          <w:rFonts w:cstheme="minorHAnsi"/>
          <w:bCs/>
          <w:snapToGrid w:val="0"/>
          <w:sz w:val="24"/>
          <w:szCs w:val="24"/>
        </w:rPr>
      </w:pPr>
      <w:r w:rsidRPr="00DD4092">
        <w:rPr>
          <w:rFonts w:cstheme="minorHAnsi"/>
          <w:bCs/>
          <w:snapToGrid w:val="0"/>
          <w:sz w:val="24"/>
          <w:szCs w:val="24"/>
        </w:rPr>
        <w:t>a) s</w:t>
      </w:r>
      <w:r>
        <w:rPr>
          <w:rFonts w:cstheme="minorHAnsi"/>
          <w:bCs/>
          <w:snapToGrid w:val="0"/>
          <w:sz w:val="24"/>
          <w:szCs w:val="24"/>
        </w:rPr>
        <w:t>unt</w:t>
      </w:r>
      <w:r w:rsidRPr="00DD4092">
        <w:rPr>
          <w:rFonts w:cstheme="minorHAnsi"/>
          <w:bCs/>
          <w:snapToGrid w:val="0"/>
          <w:sz w:val="24"/>
          <w:szCs w:val="24"/>
        </w:rPr>
        <w:t xml:space="preserve"> libere de orice sarcini sau interdicţii incompatibile cu realizarea activităţilor proiectului;</w:t>
      </w:r>
    </w:p>
    <w:p w14:paraId="16F8F951" w14:textId="77777777" w:rsidR="00A167E4" w:rsidRPr="00DD4092" w:rsidRDefault="00A167E4" w:rsidP="00A167E4">
      <w:pPr>
        <w:spacing w:after="0" w:line="276" w:lineRule="auto"/>
        <w:ind w:left="426" w:right="-138"/>
        <w:jc w:val="both"/>
        <w:rPr>
          <w:rFonts w:cstheme="minorHAnsi"/>
          <w:bCs/>
          <w:snapToGrid w:val="0"/>
          <w:sz w:val="24"/>
          <w:szCs w:val="24"/>
        </w:rPr>
      </w:pPr>
      <w:r w:rsidRPr="00DD4092">
        <w:rPr>
          <w:rFonts w:cstheme="minorHAnsi"/>
          <w:bCs/>
          <w:snapToGrid w:val="0"/>
          <w:sz w:val="24"/>
          <w:szCs w:val="24"/>
        </w:rPr>
        <w:t>b) nu fac obiectul unor garanţii, cesionări şi nici a unei alte forme de sarcini care ar putea afecta dreptul invocat;</w:t>
      </w:r>
    </w:p>
    <w:p w14:paraId="688161B4" w14:textId="77777777" w:rsidR="00A167E4" w:rsidRPr="00DD4092" w:rsidRDefault="00A167E4" w:rsidP="00A167E4">
      <w:pPr>
        <w:spacing w:after="0" w:line="276" w:lineRule="auto"/>
        <w:ind w:left="426" w:right="-138"/>
        <w:jc w:val="both"/>
        <w:rPr>
          <w:rFonts w:cstheme="minorHAnsi"/>
          <w:bCs/>
          <w:snapToGrid w:val="0"/>
          <w:sz w:val="24"/>
          <w:szCs w:val="24"/>
        </w:rPr>
      </w:pPr>
      <w:r w:rsidRPr="00DD4092">
        <w:rPr>
          <w:rFonts w:cstheme="minorHAnsi"/>
          <w:bCs/>
          <w:snapToGrid w:val="0"/>
          <w:sz w:val="24"/>
          <w:szCs w:val="24"/>
        </w:rPr>
        <w:t>c) nu fac obiectul unor litigii având ca obiect dreptul invocat de către solicitant pentru realizarea proiectului, aflate în curs de soluţionare la instanţele judecătoreşti;</w:t>
      </w:r>
    </w:p>
    <w:p w14:paraId="468E28F5" w14:textId="77777777" w:rsidR="00A167E4" w:rsidRPr="00A733B0" w:rsidRDefault="00A167E4" w:rsidP="00A167E4">
      <w:pPr>
        <w:pStyle w:val="bullet"/>
        <w:numPr>
          <w:ilvl w:val="0"/>
          <w:numId w:val="0"/>
        </w:numPr>
        <w:spacing w:before="0" w:after="0"/>
        <w:ind w:left="426"/>
        <w:jc w:val="left"/>
        <w:rPr>
          <w:rFonts w:asciiTheme="minorHAnsi" w:hAnsiTheme="minorHAnsi" w:cstheme="minorHAnsi"/>
          <w:b/>
          <w:iCs/>
          <w:sz w:val="24"/>
          <w:u w:val="single"/>
          <w:lang w:eastAsia="sk-SK"/>
        </w:rPr>
      </w:pPr>
      <w:r w:rsidRPr="00A733B0">
        <w:rPr>
          <w:rFonts w:asciiTheme="minorHAnsi" w:hAnsiTheme="minorHAnsi" w:cstheme="minorHAnsi"/>
          <w:bCs/>
          <w:snapToGrid w:val="0"/>
          <w:sz w:val="24"/>
        </w:rPr>
        <w:t>d) nu fac obiectul revendicărilor potrivit unor legi speciale în materie sau dreptului comun</w:t>
      </w:r>
    </w:p>
    <w:p w14:paraId="6B43C994" w14:textId="77777777" w:rsidR="00A167E4" w:rsidRDefault="00A167E4" w:rsidP="00E26001">
      <w:pPr>
        <w:pStyle w:val="bullet"/>
        <w:numPr>
          <w:ilvl w:val="0"/>
          <w:numId w:val="0"/>
        </w:numPr>
        <w:spacing w:before="0" w:after="0"/>
        <w:ind w:left="630"/>
        <w:rPr>
          <w:rFonts w:asciiTheme="minorHAnsi" w:hAnsiTheme="minorHAnsi" w:cstheme="minorHAnsi"/>
          <w:snapToGrid w:val="0"/>
          <w:sz w:val="24"/>
        </w:rPr>
      </w:pPr>
    </w:p>
    <w:p w14:paraId="140E2844" w14:textId="77777777" w:rsidR="00C91392" w:rsidRPr="00C91392" w:rsidRDefault="00C91392" w:rsidP="00E26001">
      <w:pPr>
        <w:pStyle w:val="bullet"/>
        <w:numPr>
          <w:ilvl w:val="0"/>
          <w:numId w:val="0"/>
        </w:numPr>
        <w:spacing w:before="0" w:after="0"/>
        <w:ind w:left="630"/>
        <w:rPr>
          <w:rFonts w:asciiTheme="minorHAnsi" w:hAnsiTheme="minorHAnsi" w:cstheme="minorHAnsi"/>
          <w:b/>
          <w:bCs/>
          <w:iCs/>
          <w:sz w:val="24"/>
          <w:u w:val="single"/>
          <w:lang w:eastAsia="sk-SK"/>
        </w:rPr>
      </w:pPr>
    </w:p>
    <w:p w14:paraId="04DABB51" w14:textId="2DD9177F"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Cerința </w:t>
      </w:r>
      <w:r w:rsidR="00A167E4">
        <w:rPr>
          <w:rFonts w:asciiTheme="minorHAnsi" w:hAnsiTheme="minorHAnsi" w:cstheme="minorHAnsi"/>
          <w:b/>
          <w:iCs/>
          <w:sz w:val="24"/>
          <w:u w:val="single"/>
          <w:lang w:eastAsia="sk-SK"/>
        </w:rPr>
        <w:t>4</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4BA1F681" w14:textId="612126C8" w:rsidR="004A1CBF" w:rsidRDefault="004A1CBF" w:rsidP="000B2F62">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567"/>
        <w:rPr>
          <w:rFonts w:ascii="Calibri" w:hAnsi="Calibri" w:cs="Calibri"/>
          <w:b/>
          <w:sz w:val="24"/>
          <w:szCs w:val="22"/>
          <w:lang w:eastAsia="ro-RO"/>
        </w:rPr>
      </w:pPr>
      <w:bookmarkStart w:id="3" w:name="_Toc128567794"/>
      <w:r w:rsidRPr="004A1CBF">
        <w:rPr>
          <w:rFonts w:ascii="Calibri" w:eastAsia="Times New Roman" w:hAnsi="Calibri" w:cs="Calibri"/>
          <w:sz w:val="24"/>
          <w:lang w:val="en-US"/>
        </w:rPr>
        <w:t xml:space="preserve">În vederea respectării prevederilor art. 65 din Regulamentul (UE) nr. 1060/2021, solicitantul la </w:t>
      </w:r>
      <w:r>
        <w:rPr>
          <w:rFonts w:ascii="Calibri" w:eastAsia="Times New Roman" w:hAnsi="Calibri" w:cs="Calibri"/>
          <w:sz w:val="24"/>
          <w:lang w:val="en-US"/>
        </w:rPr>
        <w:t xml:space="preserve">                                          </w:t>
      </w:r>
      <w:r w:rsidRPr="004A1CBF">
        <w:rPr>
          <w:rFonts w:ascii="Calibri" w:eastAsia="Times New Roman" w:hAnsi="Calibri" w:cs="Calibri"/>
          <w:sz w:val="24"/>
          <w:lang w:val="en-US"/>
        </w:rPr>
        <w:t xml:space="preserve">finanțare </w:t>
      </w:r>
      <w:bookmarkStart w:id="4" w:name="_Toc128567795"/>
      <w:bookmarkEnd w:id="3"/>
      <w:r w:rsidR="000B2F62">
        <w:rPr>
          <w:rFonts w:ascii="Calibri" w:eastAsia="Times New Roman" w:hAnsi="Calibri" w:cs="Calibri"/>
          <w:sz w:val="24"/>
          <w:lang w:val="en-US"/>
        </w:rPr>
        <w:t>deține d</w:t>
      </w:r>
      <w:r w:rsidRPr="004A1CBF">
        <w:rPr>
          <w:rFonts w:ascii="Calibri" w:hAnsi="Calibri" w:cs="Calibri"/>
          <w:b/>
          <w:sz w:val="24"/>
          <w:szCs w:val="22"/>
          <w:lang w:eastAsia="ro-RO"/>
        </w:rPr>
        <w:t xml:space="preserve">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4"/>
    </w:p>
    <w:p w14:paraId="56913B13" w14:textId="77777777" w:rsidR="00A167E4" w:rsidRDefault="00A167E4" w:rsidP="000B2F62">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567"/>
        <w:rPr>
          <w:rFonts w:ascii="Calibri" w:hAnsi="Calibri" w:cs="Calibri"/>
          <w:b/>
          <w:sz w:val="24"/>
          <w:szCs w:val="22"/>
          <w:lang w:eastAsia="ro-RO"/>
        </w:rPr>
      </w:pPr>
    </w:p>
    <w:p w14:paraId="2A8ECA7B" w14:textId="77777777" w:rsidR="00A167E4" w:rsidRDefault="00A167E4" w:rsidP="00A167E4">
      <w:pPr>
        <w:pStyle w:val="bullet"/>
        <w:numPr>
          <w:ilvl w:val="0"/>
          <w:numId w:val="0"/>
        </w:numPr>
        <w:tabs>
          <w:tab w:val="left" w:pos="720"/>
        </w:tabs>
        <w:spacing w:before="0" w:after="0"/>
        <w:ind w:left="630"/>
        <w:jc w:val="center"/>
        <w:rPr>
          <w:rFonts w:asciiTheme="minorHAnsi" w:hAnsiTheme="minorHAnsi" w:cstheme="minorHAnsi"/>
          <w:b/>
          <w:iCs/>
          <w:sz w:val="24"/>
          <w:u w:val="single"/>
          <w:lang w:eastAsia="sk-SK"/>
        </w:rPr>
      </w:pPr>
    </w:p>
    <w:p w14:paraId="42FA9D09" w14:textId="77777777" w:rsidR="00A167E4" w:rsidRDefault="00A167E4" w:rsidP="00A167E4">
      <w:pPr>
        <w:pStyle w:val="bullet"/>
        <w:numPr>
          <w:ilvl w:val="0"/>
          <w:numId w:val="0"/>
        </w:numPr>
        <w:tabs>
          <w:tab w:val="left" w:pos="720"/>
        </w:tabs>
        <w:spacing w:before="0" w:after="0"/>
        <w:ind w:left="630"/>
        <w:rPr>
          <w:rFonts w:asciiTheme="minorHAnsi" w:hAnsiTheme="minorHAnsi" w:cstheme="minorHAnsi"/>
          <w:b/>
          <w:iCs/>
          <w:sz w:val="24"/>
          <w:u w:val="single"/>
          <w:lang w:eastAsia="sk-SK"/>
        </w:rPr>
      </w:pPr>
      <w:r>
        <w:rPr>
          <w:rFonts w:asciiTheme="minorHAnsi" w:hAnsiTheme="minorHAnsi" w:cstheme="minorHAnsi"/>
          <w:sz w:val="22"/>
          <w:szCs w:val="22"/>
        </w:rPr>
        <w:fldChar w:fldCharType="begin">
          <w:ffData>
            <w:name w:val="Check2"/>
            <w:enabled/>
            <w:calcOnExit w:val="0"/>
            <w:checkBox>
              <w:sizeAuto/>
              <w:default w:val="0"/>
            </w:checkBox>
          </w:ffData>
        </w:fldChar>
      </w:r>
      <w:r>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
          <w:iCs/>
          <w:sz w:val="24"/>
          <w:u w:val="single"/>
          <w:lang w:eastAsia="sk-SK"/>
        </w:rPr>
        <w:t>Cerinta 5. Drepturi asupra imobilelor şi asupra mijloacelor de transport public în cazul proiectelor ce vizează activitățile de creare/extindere/modernizare a sistemelor de e-ticketing, managementul traficului şi alte sisteme de transport inteligente</w:t>
      </w:r>
    </w:p>
    <w:p w14:paraId="23673FA2" w14:textId="77777777" w:rsidR="00A167E4" w:rsidRDefault="00A167E4" w:rsidP="00A167E4">
      <w:pPr>
        <w:pStyle w:val="5Normal"/>
        <w:ind w:left="709"/>
        <w:rPr>
          <w:rFonts w:asciiTheme="minorHAnsi" w:hAnsiTheme="minorHAnsi" w:cstheme="minorHAnsi"/>
          <w:b/>
          <w:iCs/>
          <w:sz w:val="24"/>
          <w:u w:val="single"/>
          <w:lang w:eastAsia="sk-SK"/>
        </w:rPr>
      </w:pPr>
      <w:r>
        <w:rPr>
          <w:rFonts w:cstheme="minorHAnsi"/>
          <w:iCs/>
          <w:sz w:val="24"/>
          <w:lang w:eastAsia="sk-SK"/>
        </w:rPr>
        <w:t xml:space="preserve">      </w:t>
      </w:r>
      <w:r>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7F2B6042" w14:textId="77777777" w:rsidR="00A167E4" w:rsidRDefault="00A167E4" w:rsidP="000B2F62">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ind w:left="567"/>
        <w:rPr>
          <w:rFonts w:asciiTheme="minorHAnsi" w:hAnsiTheme="minorHAnsi" w:cstheme="minorHAnsi"/>
          <w:b/>
          <w:iCs/>
          <w:sz w:val="24"/>
          <w:u w:val="single"/>
          <w:lang w:eastAsia="sk-SK"/>
        </w:rPr>
      </w:pPr>
    </w:p>
    <w:bookmarkEnd w:id="2"/>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25835992"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A167E4">
        <w:rPr>
          <w:rFonts w:asciiTheme="minorHAnsi" w:hAnsiTheme="minorHAnsi" w:cstheme="minorHAnsi"/>
          <w:b/>
          <w:iCs/>
          <w:sz w:val="24"/>
          <w:u w:val="single"/>
          <w:lang w:eastAsia="sk-SK"/>
        </w:rPr>
        <w:t>6</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5"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6"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5"/>
    <w:bookmarkEnd w:id="6"/>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3B100D2E"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A167E4">
        <w:rPr>
          <w:rFonts w:eastAsia="Times New Roman" w:cstheme="minorHAnsi"/>
          <w:b/>
          <w:iCs/>
          <w:sz w:val="24"/>
          <w:szCs w:val="24"/>
          <w:u w:val="single"/>
          <w:lang w:eastAsia="sk-SK"/>
        </w:rPr>
        <w:t>7</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2374966F" w14:textId="77777777" w:rsidR="00AC7D03" w:rsidRPr="00AC7D03" w:rsidRDefault="00AC7D03" w:rsidP="00AC7D03">
      <w:pPr>
        <w:spacing w:before="120" w:after="120"/>
        <w:ind w:left="630"/>
        <w:rPr>
          <w:rFonts w:eastAsia="Times New Roman" w:cstheme="minorHAnsi"/>
          <w:b/>
          <w:iCs/>
          <w:sz w:val="24"/>
          <w:szCs w:val="24"/>
          <w:u w:val="single"/>
          <w:lang w:eastAsia="sk-SK"/>
        </w:rPr>
      </w:pPr>
    </w:p>
    <w:p w14:paraId="4ABBD33D"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AC7D03">
        <w:rPr>
          <w:rFonts w:eastAsia="Times New Roman" w:cstheme="minorHAnsi"/>
          <w:iCs/>
          <w:sz w:val="24"/>
          <w:szCs w:val="24"/>
          <w:lang w:eastAsia="sk-SK"/>
        </w:rPr>
        <w:t xml:space="preserve">Valoarea </w:t>
      </w:r>
      <w:r w:rsidRPr="001C280D">
        <w:rPr>
          <w:rFonts w:eastAsia="Times New Roman" w:cstheme="minorHAnsi"/>
          <w:iCs/>
          <w:color w:val="000000" w:themeColor="text1"/>
          <w:sz w:val="24"/>
          <w:szCs w:val="24"/>
          <w:lang w:eastAsia="sk-SK"/>
        </w:rPr>
        <w:t>minimă eligibilă/nerambursabilă a unui proiect</w:t>
      </w:r>
    </w:p>
    <w:p w14:paraId="22A3A21E" w14:textId="0DF33EF5"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 xml:space="preserve">Valoarea minimă eligibilă:  </w:t>
      </w:r>
      <w:r w:rsidR="001C6C93" w:rsidRPr="001C280D">
        <w:rPr>
          <w:rFonts w:eastAsia="Times New Roman" w:cstheme="minorHAnsi"/>
          <w:iCs/>
          <w:color w:val="000000" w:themeColor="text1"/>
          <w:sz w:val="24"/>
          <w:szCs w:val="24"/>
          <w:lang w:eastAsia="sk-SK"/>
        </w:rPr>
        <w:t>25</w:t>
      </w:r>
      <w:r w:rsidRPr="001C280D">
        <w:rPr>
          <w:rFonts w:eastAsia="Times New Roman" w:cstheme="minorHAnsi"/>
          <w:iCs/>
          <w:color w:val="000000" w:themeColor="text1"/>
          <w:sz w:val="24"/>
          <w:szCs w:val="24"/>
          <w:lang w:eastAsia="sk-SK"/>
        </w:rPr>
        <w:t xml:space="preserve">0.000 euro </w:t>
      </w:r>
    </w:p>
    <w:p w14:paraId="7A8F17AF"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Valoarea maximă eligibilă/nerambursabilă a unui proiect</w:t>
      </w:r>
    </w:p>
    <w:p w14:paraId="537099D0" w14:textId="2B663F40" w:rsidR="00AC7D03" w:rsidRPr="001C280D" w:rsidRDefault="00AC7D03" w:rsidP="00AC7D03">
      <w:pPr>
        <w:spacing w:before="120" w:after="120"/>
        <w:ind w:left="630"/>
        <w:rPr>
          <w:rFonts w:eastAsia="Times New Roman" w:cstheme="minorHAnsi"/>
          <w:iCs/>
          <w:color w:val="000000" w:themeColor="text1"/>
          <w:sz w:val="24"/>
          <w:szCs w:val="24"/>
          <w:lang w:eastAsia="sk-SK"/>
        </w:rPr>
      </w:pPr>
      <w:r w:rsidRPr="001C280D">
        <w:rPr>
          <w:rFonts w:eastAsia="Times New Roman" w:cstheme="minorHAnsi"/>
          <w:iCs/>
          <w:color w:val="000000" w:themeColor="text1"/>
          <w:sz w:val="24"/>
          <w:szCs w:val="24"/>
          <w:lang w:eastAsia="sk-SK"/>
        </w:rPr>
        <w:t xml:space="preserve">Valoarea maximă eligibilă: 5.000.000* euro </w:t>
      </w:r>
    </w:p>
    <w:p w14:paraId="601E97CB" w14:textId="0481EBF7" w:rsidR="00AC7D03" w:rsidRPr="00AC7D03" w:rsidRDefault="00EE69D9" w:rsidP="00DA748C">
      <w:pPr>
        <w:spacing w:before="120" w:after="120"/>
        <w:ind w:left="630"/>
        <w:rPr>
          <w:rFonts w:eastAsia="Times New Roman" w:cstheme="minorHAnsi"/>
          <w:iCs/>
          <w:sz w:val="24"/>
          <w:szCs w:val="24"/>
          <w:lang w:eastAsia="sk-SK"/>
        </w:rPr>
      </w:pPr>
      <w:r w:rsidRPr="00EE69D9">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AC7D03" w:rsidRDefault="00AC7D03" w:rsidP="00DA748C">
      <w:pPr>
        <w:spacing w:before="120" w:after="120"/>
        <w:ind w:left="630"/>
        <w:rPr>
          <w:rFonts w:cstheme="minorHAnsi"/>
          <w:sz w:val="24"/>
          <w:szCs w:val="24"/>
        </w:rPr>
      </w:pPr>
    </w:p>
    <w:p w14:paraId="3EC2821E" w14:textId="71D68110" w:rsidR="005B2189" w:rsidRPr="00095BED" w:rsidRDefault="007369B9" w:rsidP="001E0CF9">
      <w:pPr>
        <w:spacing w:before="120" w:after="120"/>
        <w:ind w:left="567"/>
        <w:rPr>
          <w:rFonts w:cstheme="minorHAnsi"/>
          <w:b/>
          <w:iCs/>
          <w:sz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Pr>
          <w:rFonts w:cstheme="minorHAnsi"/>
        </w:rPr>
        <w:t xml:space="preserve"> </w:t>
      </w:r>
      <w:r w:rsidR="005B2189" w:rsidRPr="00095BED">
        <w:rPr>
          <w:rFonts w:cstheme="minorHAnsi"/>
          <w:b/>
          <w:iCs/>
          <w:sz w:val="24"/>
          <w:u w:val="single"/>
          <w:lang w:eastAsia="sk-SK"/>
        </w:rPr>
        <w:t xml:space="preserve">Cerinta </w:t>
      </w:r>
      <w:r w:rsidR="00A167E4">
        <w:rPr>
          <w:rFonts w:cstheme="minorHAnsi"/>
          <w:b/>
          <w:iCs/>
          <w:sz w:val="24"/>
          <w:u w:val="single"/>
          <w:lang w:eastAsia="sk-SK"/>
        </w:rPr>
        <w:t>8</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sidR="004A25A2">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7" w:name="__Fieldmark__24430_1580758020"/>
      <w:bookmarkStart w:id="8" w:name="__Fieldmark__24431_1580758020"/>
      <w:bookmarkStart w:id="9" w:name="__Fieldmark__24432_1580758020"/>
      <w:bookmarkStart w:id="10" w:name="__Fieldmark__24433_1580758020"/>
      <w:bookmarkStart w:id="11" w:name="__Fieldmark__24434_1580758020"/>
      <w:bookmarkStart w:id="12" w:name="__Fieldmark__24435_1580758020"/>
      <w:bookmarkEnd w:id="7"/>
      <w:bookmarkEnd w:id="8"/>
      <w:bookmarkEnd w:id="9"/>
      <w:bookmarkEnd w:id="10"/>
      <w:bookmarkEnd w:id="11"/>
      <w:bookmarkEnd w:id="12"/>
    </w:p>
    <w:p w14:paraId="4CED531C" w14:textId="4D223D78" w:rsidR="00D32B53" w:rsidRPr="00095BED" w:rsidRDefault="007369B9">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A167E4">
        <w:rPr>
          <w:rFonts w:asciiTheme="minorHAnsi" w:hAnsiTheme="minorHAnsi" w:cstheme="minorHAnsi"/>
          <w:b/>
          <w:iCs/>
          <w:sz w:val="24"/>
          <w:u w:val="single"/>
          <w:lang w:eastAsia="sk-SK"/>
        </w:rPr>
        <w:t>9</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359D0BC5" w:rsidR="00D32B53" w:rsidRDefault="007369B9">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A167E4">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3" w:name="_Hlk132103730"/>
      <w:r w:rsidR="00F3090A" w:rsidRPr="00095BED">
        <w:rPr>
          <w:rFonts w:asciiTheme="minorHAnsi" w:hAnsiTheme="minorHAnsi" w:cstheme="minorHAnsi"/>
          <w:b/>
          <w:iCs/>
          <w:sz w:val="24"/>
          <w:u w:val="single"/>
          <w:lang w:eastAsia="sk-SK"/>
        </w:rPr>
        <w:t xml:space="preserve">Proiectul propus spre finanţare </w:t>
      </w:r>
      <w:bookmarkEnd w:id="13"/>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64D962F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w:t>
      </w:r>
      <w:r w:rsidR="00A167E4">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57927EDB" w14:textId="02B6E591"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3D91AFDC"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4FEE256"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84D4816" w14:textId="153CA56F" w:rsidR="00AC7D03" w:rsidRPr="001C280D" w:rsidRDefault="001F25F2"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1C280D">
        <w:rPr>
          <w:rFonts w:asciiTheme="minorHAnsi" w:hAnsiTheme="minorHAnsi" w:cstheme="minorHAnsi"/>
          <w:iCs/>
          <w:color w:val="000000" w:themeColor="text1"/>
          <w:sz w:val="24"/>
          <w:lang w:eastAsia="sk-SK"/>
        </w:rPr>
        <w:t>Activitățile proiectului se implementează pe teritoriul unităților administrativ-teritoriale municipii şi, doar în cazul parteneriatelor cu municipiile, inclusiv pe cel al unităților administrativ-teritoriale din zona funcţională urbană a acestora, incluse în zona de studiu a Planului de Mobilitate Urbană Durabilă.</w:t>
      </w:r>
    </w:p>
    <w:p w14:paraId="2432D84D" w14:textId="19147001"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4.</w:t>
      </w:r>
      <w:r>
        <w:rPr>
          <w:rFonts w:asciiTheme="minorHAnsi" w:hAnsiTheme="minorHAnsi" w:cstheme="minorHAnsi"/>
          <w:b/>
          <w:iCs/>
          <w:sz w:val="24"/>
          <w:u w:val="single"/>
          <w:lang w:eastAsia="sk-SK"/>
        </w:rPr>
        <w:t xml:space="preserve">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4DA0D30B"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1106B46" w14:textId="551C4214" w:rsidR="001F25F2" w:rsidRDefault="00AC7D03" w:rsidP="001F25F2">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001F25F2">
        <w:rPr>
          <w:rFonts w:asciiTheme="minorHAnsi" w:hAnsiTheme="minorHAnsi" w:cstheme="minorHAnsi"/>
          <w:iCs/>
          <w:sz w:val="24"/>
          <w:lang w:eastAsia="sk-SK"/>
        </w:rPr>
        <w:t xml:space="preserve">     </w:t>
      </w:r>
      <w:r w:rsidRPr="00AC7D03">
        <w:rPr>
          <w:rFonts w:asciiTheme="minorHAnsi" w:hAnsiTheme="minorHAnsi" w:cstheme="minorHAnsi"/>
          <w:iCs/>
          <w:sz w:val="24"/>
          <w:lang w:eastAsia="sk-SK"/>
        </w:rPr>
        <w:t>nu face parte din activitățile conexe implementării investiției, așa cum sunt acestea definite în ghidul solicitantului;</w:t>
      </w:r>
    </w:p>
    <w:p w14:paraId="4E373DDE" w14:textId="446EFDEE" w:rsidR="00AC7D03" w:rsidRDefault="00AC7D03" w:rsidP="001F25F2">
      <w:pPr>
        <w:pStyle w:val="bullet"/>
        <w:numPr>
          <w:ilvl w:val="0"/>
          <w:numId w:val="12"/>
        </w:numPr>
        <w:spacing w:after="0"/>
        <w:rPr>
          <w:rFonts w:asciiTheme="minorHAnsi" w:hAnsiTheme="minorHAnsi" w:cstheme="minorHAnsi"/>
          <w:iCs/>
          <w:sz w:val="24"/>
          <w:lang w:eastAsia="sk-SK"/>
        </w:rPr>
      </w:pPr>
      <w:r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4019A21E"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5.</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326D24E0"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6.</w:t>
      </w:r>
      <w:r>
        <w:rPr>
          <w:rFonts w:asciiTheme="minorHAnsi" w:hAnsiTheme="minorHAnsi" w:cstheme="minorHAnsi"/>
          <w:b/>
          <w:iCs/>
          <w:sz w:val="24"/>
          <w:u w:val="single"/>
          <w:lang w:eastAsia="sk-SK"/>
        </w:rPr>
        <w:t xml:space="preserve">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2A1A3370"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lastRenderedPageBreak/>
        <w:t>Proiectul este inclus în cadrul Strategiei Integrate de Dezvoltare Urbană și asigur</w:t>
      </w:r>
      <w:r w:rsidR="004B4ACC">
        <w:rPr>
          <w:rFonts w:asciiTheme="minorHAnsi" w:hAnsiTheme="minorHAnsi" w:cstheme="minorHAnsi"/>
          <w:iCs/>
          <w:sz w:val="24"/>
          <w:lang w:eastAsia="sk-SK"/>
        </w:rPr>
        <w:t>ă complementaritatea.</w:t>
      </w:r>
    </w:p>
    <w:p w14:paraId="7470E550" w14:textId="51BB8D30" w:rsidR="004B4ACC" w:rsidRDefault="004B4ACC" w:rsidP="001B2F7F">
      <w:pPr>
        <w:pStyle w:val="bullet"/>
        <w:numPr>
          <w:ilvl w:val="0"/>
          <w:numId w:val="0"/>
        </w:numPr>
        <w:spacing w:before="0" w:after="0"/>
        <w:ind w:left="644"/>
        <w:rPr>
          <w:rFonts w:asciiTheme="minorHAnsi" w:hAnsiTheme="minorHAnsi" w:cstheme="minorHAnsi"/>
          <w:iCs/>
          <w:sz w:val="24"/>
          <w:lang w:eastAsia="sk-SK"/>
        </w:rPr>
      </w:pPr>
      <w:r w:rsidRPr="004B4ACC">
        <w:rPr>
          <w:rFonts w:asciiTheme="minorHAnsi" w:hAnsiTheme="minorHAnsi" w:cstheme="minorHAnsi"/>
          <w:iCs/>
          <w:sz w:val="24"/>
          <w:lang w:eastAsia="sk-SK"/>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r>
        <w:rPr>
          <w:rFonts w:asciiTheme="minorHAnsi" w:hAnsiTheme="minorHAnsi" w:cstheme="minorHAnsi"/>
          <w:iCs/>
          <w:sz w:val="24"/>
          <w:lang w:eastAsia="sk-SK"/>
        </w:rPr>
        <w:t>.</w:t>
      </w:r>
    </w:p>
    <w:p w14:paraId="447DF655" w14:textId="202C8642"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7.</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6727667E"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8.</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13420C4E" w14:textId="741A9BE6"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77AAA3D0"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6D93EBC7"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sidR="00A167E4">
        <w:rPr>
          <w:rFonts w:asciiTheme="minorHAnsi" w:hAnsiTheme="minorHAnsi" w:cstheme="minorHAnsi"/>
          <w:b/>
          <w:iCs/>
          <w:sz w:val="24"/>
          <w:u w:val="single"/>
          <w:lang w:eastAsia="sk-SK"/>
        </w:rPr>
        <w:t>9.</w:t>
      </w:r>
      <w:r>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6546606F"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A167E4">
        <w:rPr>
          <w:rFonts w:asciiTheme="minorHAnsi" w:hAnsiTheme="minorHAnsi" w:cstheme="minorHAnsi"/>
          <w:b/>
          <w:iCs/>
          <w:sz w:val="24"/>
          <w:u w:val="single"/>
          <w:lang w:eastAsia="sk-SK"/>
        </w:rPr>
        <w:t>20.</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 xml:space="preserve">Din compararea scenariilor „fără proiect” (Scenariul „A face minimum”) și „cu proiect” (Scenariul „A face ceva”) pentru primul an de după finalizarea implementării proiectului (primul an de </w:t>
      </w:r>
      <w:r w:rsidRPr="00DA4245">
        <w:rPr>
          <w:rFonts w:asciiTheme="minorHAnsi" w:hAnsiTheme="minorHAnsi" w:cstheme="minorHAnsi"/>
          <w:iCs/>
          <w:sz w:val="24"/>
          <w:lang w:eastAsia="sk-SK"/>
        </w:rPr>
        <w:lastRenderedPageBreak/>
        <w:t>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57EE6FDE"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w:t>
      </w:r>
      <w:r w:rsidR="00A167E4">
        <w:rPr>
          <w:rFonts w:asciiTheme="minorHAnsi" w:hAnsiTheme="minorHAnsi" w:cstheme="minorHAnsi"/>
          <w:b/>
          <w:iCs/>
          <w:sz w:val="24"/>
          <w:u w:val="single"/>
          <w:lang w:eastAsia="sk-SK"/>
        </w:rPr>
        <w:t>1.</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714686EA"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sidR="00A167E4">
        <w:rPr>
          <w:rFonts w:asciiTheme="minorHAnsi" w:hAnsiTheme="minorHAnsi" w:cstheme="minorHAnsi"/>
          <w:b/>
          <w:iCs/>
          <w:sz w:val="24"/>
          <w:u w:val="single"/>
          <w:lang w:eastAsia="sk-SK"/>
        </w:rPr>
        <w:t>2.</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17DA3DC0"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A167E4">
        <w:rPr>
          <w:rFonts w:asciiTheme="minorHAnsi" w:hAnsiTheme="minorHAnsi" w:cstheme="minorHAnsi"/>
          <w:b/>
          <w:iCs/>
          <w:sz w:val="24"/>
          <w:u w:val="single"/>
          <w:lang w:eastAsia="sk-SK"/>
        </w:rPr>
        <w:t>3.</w:t>
      </w:r>
      <w:r w:rsidR="00E135AC" w:rsidRPr="00095BED">
        <w:rPr>
          <w:rFonts w:asciiTheme="minorHAnsi" w:hAnsiTheme="minorHAnsi" w:cstheme="minorHAnsi"/>
          <w:b/>
          <w:iCs/>
          <w:sz w:val="24"/>
          <w:u w:val="single"/>
          <w:lang w:eastAsia="sk-SK"/>
        </w:rPr>
        <w:t xml:space="preserve">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2A7FB509"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w:t>
      </w:r>
      <w:r w:rsidR="00A167E4">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0050DC49"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A167E4">
        <w:rPr>
          <w:rFonts w:asciiTheme="minorHAnsi" w:hAnsiTheme="minorHAnsi" w:cstheme="minorHAnsi"/>
          <w:b/>
          <w:iCs/>
          <w:sz w:val="24"/>
          <w:u w:val="single"/>
          <w:lang w:eastAsia="sk-SK"/>
        </w:rPr>
        <w:t>5</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391F90F8"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A167E4">
        <w:rPr>
          <w:rFonts w:asciiTheme="minorHAnsi" w:hAnsiTheme="minorHAnsi" w:cstheme="minorHAnsi"/>
          <w:b/>
          <w:iCs/>
          <w:sz w:val="24"/>
          <w:u w:val="single"/>
          <w:lang w:eastAsia="sk-SK"/>
        </w:rPr>
        <w:t>6</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lastRenderedPageBreak/>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4C5C6B">
        <w:rPr>
          <w:rFonts w:cstheme="minorHAnsi"/>
        </w:rPr>
      </w:r>
      <w:r w:rsidR="004C5C6B">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14" w:name="__Fieldmark__14454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15" w:name="__Fieldmark__14455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16" w:name="__Fieldmark__14456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17" w:name="__Fieldmark__14457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18" w:name="__Fieldmark__14458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9" w:name="__Fieldmark__14459_1580758020"/>
    <w:bookmarkEnd w:id="19"/>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20" w:name="__Fieldmark__14460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21" w:name="__Fieldmark__14461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bookmarkStart w:id="22" w:name="__Fieldmark__14462_1580758020"/>
      <w:bookmarkEnd w:id="22"/>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4C5C6B">
        <w:rPr>
          <w:rFonts w:cstheme="minorHAnsi"/>
          <w:color w:val="00B050"/>
        </w:rPr>
      </w:r>
      <w:r w:rsidR="004C5C6B">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4C5C6B">
        <w:rPr>
          <w:rFonts w:asciiTheme="minorHAnsi" w:hAnsiTheme="minorHAnsi" w:cstheme="minorHAnsi"/>
          <w:sz w:val="22"/>
          <w:szCs w:val="22"/>
        </w:rPr>
      </w:r>
      <w:r w:rsidR="004C5C6B">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4C5C6B">
        <w:rPr>
          <w:rFonts w:cstheme="minorHAnsi"/>
        </w:rPr>
      </w:r>
      <w:r w:rsidR="004C5C6B">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17DCB17B" w14:textId="195CC268" w:rsidR="00C559AC" w:rsidRPr="00C559AC" w:rsidRDefault="00C559AC">
      <w:pPr>
        <w:pStyle w:val="ListParagraph"/>
        <w:spacing w:after="0" w:line="240" w:lineRule="auto"/>
        <w:jc w:val="both"/>
        <w:rPr>
          <w:rFonts w:eastAsia="Times New Roman" w:cstheme="minorHAnsi"/>
          <w:i/>
          <w:iCs/>
          <w:lang w:eastAsia="sk-SK"/>
        </w:rPr>
      </w:pPr>
      <w:r w:rsidRPr="00C559AC">
        <w:rPr>
          <w:rFonts w:ascii="Segoe UI Symbol" w:eastAsia="Times New Roman" w:hAnsi="Segoe UI Symbol" w:cs="Segoe UI Symbol"/>
          <w:lang w:eastAsia="sk-SK"/>
        </w:rPr>
        <w:lastRenderedPageBreak/>
        <w:t>☐</w:t>
      </w:r>
      <w:r w:rsidRPr="00C559AC">
        <w:rPr>
          <w:rFonts w:eastAsia="Times New Roman" w:cstheme="minorHAnsi"/>
          <w:lang w:eastAsia="sk-SK"/>
        </w:rPr>
        <w:t xml:space="preserve"> </w:t>
      </w:r>
      <w:r w:rsidRPr="00C559AC">
        <w:rPr>
          <w:rFonts w:eastAsia="Times New Roman" w:cstheme="minorHAnsi"/>
          <w:i/>
          <w:iCs/>
          <w:lang w:eastAsia="sk-SK"/>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49951468" w14:textId="77777777" w:rsidR="00C559AC" w:rsidRDefault="00C559AC">
      <w:pPr>
        <w:pStyle w:val="ListParagraph"/>
        <w:spacing w:after="0" w:line="240" w:lineRule="auto"/>
        <w:jc w:val="both"/>
        <w:rPr>
          <w:rFonts w:eastAsia="Times New Roman" w:cstheme="minorHAnsi"/>
          <w:i/>
          <w:iCs/>
          <w:sz w:val="18"/>
          <w:szCs w:val="18"/>
          <w:lang w:eastAsia="sk-SK"/>
        </w:rPr>
      </w:pPr>
    </w:p>
    <w:p w14:paraId="7FA38AC8" w14:textId="77777777" w:rsidR="00F64DC1" w:rsidRPr="00095BED"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366DF77D" w14:textId="77777777" w:rsidR="004B6B76"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Declar că sunt pe deplin autorizat să semnez această declaraţie în numele</w:t>
      </w:r>
    </w:p>
    <w:p w14:paraId="055D8A49" w14:textId="1DE006B4" w:rsidR="00311AB4" w:rsidRDefault="00311AB4" w:rsidP="004B6B76">
      <w:pPr>
        <w:pStyle w:val="bullet"/>
        <w:numPr>
          <w:ilvl w:val="0"/>
          <w:numId w:val="0"/>
        </w:numPr>
        <w:spacing w:before="0" w:after="0"/>
        <w:ind w:left="782"/>
        <w:rPr>
          <w:rFonts w:asciiTheme="minorHAnsi" w:hAnsiTheme="minorHAnsi" w:cstheme="minorHAnsi"/>
          <w:b/>
          <w:sz w:val="24"/>
        </w:rPr>
      </w:pPr>
      <w:r w:rsidRPr="00095BED">
        <w:rPr>
          <w:rFonts w:asciiTheme="minorHAnsi" w:hAnsiTheme="minorHAnsi" w:cstheme="minorHAnsi"/>
          <w:b/>
          <w:sz w:val="24"/>
        </w:rPr>
        <w:t xml:space="preserv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rsidP="004B6B76">
      <w:pPr>
        <w:pStyle w:val="bullet"/>
        <w:numPr>
          <w:ilvl w:val="0"/>
          <w:numId w:val="0"/>
        </w:numPr>
        <w:spacing w:before="0" w:after="0"/>
        <w:ind w:left="74" w:firstLine="708"/>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rsidP="004B6B76">
      <w:pPr>
        <w:pStyle w:val="bullet"/>
        <w:numPr>
          <w:ilvl w:val="0"/>
          <w:numId w:val="0"/>
        </w:numPr>
        <w:spacing w:before="0" w:after="0"/>
        <w:ind w:left="720" w:hanging="12"/>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p w14:paraId="172A3656" w14:textId="77777777" w:rsidR="00B5499C" w:rsidRDefault="00B5499C">
      <w:pPr>
        <w:pStyle w:val="bullet"/>
        <w:numPr>
          <w:ilvl w:val="0"/>
          <w:numId w:val="0"/>
        </w:numPr>
        <w:spacing w:before="0" w:after="0"/>
        <w:ind w:left="720" w:hanging="360"/>
        <w:rPr>
          <w:rFonts w:asciiTheme="minorHAnsi" w:hAnsiTheme="minorHAnsi" w:cstheme="minorHAnsi"/>
          <w:b/>
          <w:sz w:val="24"/>
        </w:rPr>
      </w:pPr>
    </w:p>
    <w:p w14:paraId="26597661" w14:textId="77777777" w:rsidR="00B5499C" w:rsidRPr="005C7EFA" w:rsidRDefault="00B5499C" w:rsidP="00B5499C">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Pentru apelurile lansate se va depune format pdf.</w:t>
      </w:r>
    </w:p>
    <w:p w14:paraId="13EB8925" w14:textId="77777777" w:rsidR="00B5499C" w:rsidRPr="00095BED" w:rsidRDefault="00B5499C">
      <w:pPr>
        <w:pStyle w:val="bullet"/>
        <w:numPr>
          <w:ilvl w:val="0"/>
          <w:numId w:val="0"/>
        </w:numPr>
        <w:spacing w:before="0" w:after="0"/>
        <w:ind w:left="720" w:hanging="360"/>
        <w:rPr>
          <w:rFonts w:asciiTheme="minorHAnsi" w:hAnsiTheme="minorHAnsi" w:cstheme="minorHAnsi"/>
          <w:b/>
          <w:sz w:val="24"/>
        </w:rPr>
      </w:pPr>
    </w:p>
    <w:sectPr w:rsidR="00B5499C"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94EB" w14:textId="77777777" w:rsidR="008136CA" w:rsidRDefault="008136CA">
      <w:pPr>
        <w:spacing w:after="0" w:line="240" w:lineRule="auto"/>
      </w:pPr>
      <w:r>
        <w:separator/>
      </w:r>
    </w:p>
  </w:endnote>
  <w:endnote w:type="continuationSeparator" w:id="0">
    <w:p w14:paraId="75CD358A" w14:textId="77777777" w:rsidR="008136CA" w:rsidRDefault="0081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C065D4">
          <w:rPr>
            <w:noProof/>
          </w:rPr>
          <w:t>3</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CB43" w14:textId="77777777" w:rsidR="008136CA" w:rsidRDefault="008136CA">
      <w:pPr>
        <w:spacing w:after="0" w:line="240" w:lineRule="auto"/>
      </w:pPr>
      <w:r>
        <w:separator/>
      </w:r>
    </w:p>
  </w:footnote>
  <w:footnote w:type="continuationSeparator" w:id="0">
    <w:p w14:paraId="0B67849C" w14:textId="77777777" w:rsidR="008136CA" w:rsidRDefault="00813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3AA1E2A"/>
    <w:multiLevelType w:val="hybridMultilevel"/>
    <w:tmpl w:val="C4F4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3018652">
    <w:abstractNumId w:val="10"/>
  </w:num>
  <w:num w:numId="2" w16cid:durableId="1043484501">
    <w:abstractNumId w:val="3"/>
  </w:num>
  <w:num w:numId="3" w16cid:durableId="1248926824">
    <w:abstractNumId w:val="11"/>
  </w:num>
  <w:num w:numId="4" w16cid:durableId="1237402651">
    <w:abstractNumId w:val="5"/>
  </w:num>
  <w:num w:numId="5" w16cid:durableId="2071612197">
    <w:abstractNumId w:val="4"/>
  </w:num>
  <w:num w:numId="6" w16cid:durableId="1366909959">
    <w:abstractNumId w:val="7"/>
  </w:num>
  <w:num w:numId="7" w16cid:durableId="996153507">
    <w:abstractNumId w:val="9"/>
  </w:num>
  <w:num w:numId="8" w16cid:durableId="729963196">
    <w:abstractNumId w:val="1"/>
  </w:num>
  <w:num w:numId="9" w16cid:durableId="430128594">
    <w:abstractNumId w:val="8"/>
  </w:num>
  <w:num w:numId="10" w16cid:durableId="1171992386">
    <w:abstractNumId w:val="0"/>
  </w:num>
  <w:num w:numId="11" w16cid:durableId="921110968">
    <w:abstractNumId w:val="6"/>
  </w:num>
  <w:num w:numId="12" w16cid:durableId="1216427658">
    <w:abstractNumId w:val="2"/>
  </w:num>
  <w:num w:numId="13" w16cid:durableId="13418143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6315"/>
    <w:rsid w:val="00095BED"/>
    <w:rsid w:val="000B2F62"/>
    <w:rsid w:val="001174EC"/>
    <w:rsid w:val="00172010"/>
    <w:rsid w:val="00174C25"/>
    <w:rsid w:val="00193DF2"/>
    <w:rsid w:val="0019423B"/>
    <w:rsid w:val="0019569F"/>
    <w:rsid w:val="001957DC"/>
    <w:rsid w:val="001A2B0D"/>
    <w:rsid w:val="001B2B63"/>
    <w:rsid w:val="001B2F7F"/>
    <w:rsid w:val="001C10E3"/>
    <w:rsid w:val="001C280D"/>
    <w:rsid w:val="001C6C93"/>
    <w:rsid w:val="001E0CF9"/>
    <w:rsid w:val="001F25F2"/>
    <w:rsid w:val="002251DD"/>
    <w:rsid w:val="00231C4D"/>
    <w:rsid w:val="0027524B"/>
    <w:rsid w:val="002B7CF4"/>
    <w:rsid w:val="002F6292"/>
    <w:rsid w:val="00311AB4"/>
    <w:rsid w:val="00345E9B"/>
    <w:rsid w:val="003502BF"/>
    <w:rsid w:val="0035348F"/>
    <w:rsid w:val="003540C6"/>
    <w:rsid w:val="0035427B"/>
    <w:rsid w:val="003920A3"/>
    <w:rsid w:val="003961EE"/>
    <w:rsid w:val="003C403D"/>
    <w:rsid w:val="003E151B"/>
    <w:rsid w:val="003F3ABB"/>
    <w:rsid w:val="00403FFD"/>
    <w:rsid w:val="00431C5D"/>
    <w:rsid w:val="00435201"/>
    <w:rsid w:val="00441D08"/>
    <w:rsid w:val="004501E9"/>
    <w:rsid w:val="004544CE"/>
    <w:rsid w:val="00496160"/>
    <w:rsid w:val="00497B33"/>
    <w:rsid w:val="004A1CBF"/>
    <w:rsid w:val="004A25A2"/>
    <w:rsid w:val="004B3C66"/>
    <w:rsid w:val="004B4ACC"/>
    <w:rsid w:val="004B52C0"/>
    <w:rsid w:val="004B6B76"/>
    <w:rsid w:val="004C3718"/>
    <w:rsid w:val="004C5C6B"/>
    <w:rsid w:val="004E12FC"/>
    <w:rsid w:val="00515A9F"/>
    <w:rsid w:val="00516194"/>
    <w:rsid w:val="00517B96"/>
    <w:rsid w:val="00530814"/>
    <w:rsid w:val="00550296"/>
    <w:rsid w:val="005543A6"/>
    <w:rsid w:val="00570D47"/>
    <w:rsid w:val="00593390"/>
    <w:rsid w:val="005954C9"/>
    <w:rsid w:val="005B2189"/>
    <w:rsid w:val="005B721A"/>
    <w:rsid w:val="005E3F98"/>
    <w:rsid w:val="005F0241"/>
    <w:rsid w:val="005F578F"/>
    <w:rsid w:val="00610567"/>
    <w:rsid w:val="00633403"/>
    <w:rsid w:val="00637403"/>
    <w:rsid w:val="00646913"/>
    <w:rsid w:val="00663721"/>
    <w:rsid w:val="006700E2"/>
    <w:rsid w:val="00673026"/>
    <w:rsid w:val="006918E0"/>
    <w:rsid w:val="0069433A"/>
    <w:rsid w:val="00694857"/>
    <w:rsid w:val="00695127"/>
    <w:rsid w:val="006B1731"/>
    <w:rsid w:val="006D08C4"/>
    <w:rsid w:val="006E27FC"/>
    <w:rsid w:val="006F0A64"/>
    <w:rsid w:val="00714440"/>
    <w:rsid w:val="007209D5"/>
    <w:rsid w:val="00721CB6"/>
    <w:rsid w:val="0073653B"/>
    <w:rsid w:val="007369B9"/>
    <w:rsid w:val="00737F46"/>
    <w:rsid w:val="00751427"/>
    <w:rsid w:val="0075429B"/>
    <w:rsid w:val="0076667D"/>
    <w:rsid w:val="00790BD5"/>
    <w:rsid w:val="007959BE"/>
    <w:rsid w:val="007967A8"/>
    <w:rsid w:val="007C11F6"/>
    <w:rsid w:val="007C1DD7"/>
    <w:rsid w:val="007D48ED"/>
    <w:rsid w:val="007E0E8C"/>
    <w:rsid w:val="007F41BC"/>
    <w:rsid w:val="008136CA"/>
    <w:rsid w:val="008151E3"/>
    <w:rsid w:val="00830349"/>
    <w:rsid w:val="00831A56"/>
    <w:rsid w:val="00893B78"/>
    <w:rsid w:val="00895132"/>
    <w:rsid w:val="008969F3"/>
    <w:rsid w:val="008B2BB2"/>
    <w:rsid w:val="008C74D5"/>
    <w:rsid w:val="008D6A9C"/>
    <w:rsid w:val="00924C46"/>
    <w:rsid w:val="0092567A"/>
    <w:rsid w:val="0095169C"/>
    <w:rsid w:val="0095682E"/>
    <w:rsid w:val="00964C27"/>
    <w:rsid w:val="0098229F"/>
    <w:rsid w:val="0098506A"/>
    <w:rsid w:val="009976D9"/>
    <w:rsid w:val="009A07F9"/>
    <w:rsid w:val="009A23B5"/>
    <w:rsid w:val="009B3CCC"/>
    <w:rsid w:val="009C2C0F"/>
    <w:rsid w:val="009C41AC"/>
    <w:rsid w:val="009D4A62"/>
    <w:rsid w:val="009D4B05"/>
    <w:rsid w:val="009E7ED4"/>
    <w:rsid w:val="009F7BD7"/>
    <w:rsid w:val="00A00281"/>
    <w:rsid w:val="00A167E4"/>
    <w:rsid w:val="00A232DE"/>
    <w:rsid w:val="00A36A82"/>
    <w:rsid w:val="00A37BF1"/>
    <w:rsid w:val="00A667B5"/>
    <w:rsid w:val="00A80C3D"/>
    <w:rsid w:val="00A908EC"/>
    <w:rsid w:val="00A913AE"/>
    <w:rsid w:val="00AB0CDA"/>
    <w:rsid w:val="00AC7D03"/>
    <w:rsid w:val="00AD657E"/>
    <w:rsid w:val="00AE4D26"/>
    <w:rsid w:val="00AF745C"/>
    <w:rsid w:val="00B01FD4"/>
    <w:rsid w:val="00B21B72"/>
    <w:rsid w:val="00B30149"/>
    <w:rsid w:val="00B33C7F"/>
    <w:rsid w:val="00B466BA"/>
    <w:rsid w:val="00B52C78"/>
    <w:rsid w:val="00B5430D"/>
    <w:rsid w:val="00B5464D"/>
    <w:rsid w:val="00B5499C"/>
    <w:rsid w:val="00B54FC5"/>
    <w:rsid w:val="00B86D18"/>
    <w:rsid w:val="00BD55D5"/>
    <w:rsid w:val="00BE3929"/>
    <w:rsid w:val="00BE5757"/>
    <w:rsid w:val="00BF035E"/>
    <w:rsid w:val="00BF4B1A"/>
    <w:rsid w:val="00BF550B"/>
    <w:rsid w:val="00C065D4"/>
    <w:rsid w:val="00C0719B"/>
    <w:rsid w:val="00C559AC"/>
    <w:rsid w:val="00C64D98"/>
    <w:rsid w:val="00C652DD"/>
    <w:rsid w:val="00C75AAE"/>
    <w:rsid w:val="00C91392"/>
    <w:rsid w:val="00CA601F"/>
    <w:rsid w:val="00CB0E8D"/>
    <w:rsid w:val="00CB5081"/>
    <w:rsid w:val="00CD062E"/>
    <w:rsid w:val="00CE3EC4"/>
    <w:rsid w:val="00D309A0"/>
    <w:rsid w:val="00D30C9F"/>
    <w:rsid w:val="00D32B53"/>
    <w:rsid w:val="00D61D10"/>
    <w:rsid w:val="00D6508A"/>
    <w:rsid w:val="00D9543A"/>
    <w:rsid w:val="00DA4245"/>
    <w:rsid w:val="00DA748C"/>
    <w:rsid w:val="00DC71B2"/>
    <w:rsid w:val="00DD0810"/>
    <w:rsid w:val="00DD26FF"/>
    <w:rsid w:val="00DD4B93"/>
    <w:rsid w:val="00DE1C7F"/>
    <w:rsid w:val="00E135AC"/>
    <w:rsid w:val="00E137C7"/>
    <w:rsid w:val="00E23FF3"/>
    <w:rsid w:val="00E26001"/>
    <w:rsid w:val="00E30336"/>
    <w:rsid w:val="00E32FEC"/>
    <w:rsid w:val="00E350E4"/>
    <w:rsid w:val="00E43337"/>
    <w:rsid w:val="00E7541E"/>
    <w:rsid w:val="00EA4742"/>
    <w:rsid w:val="00EA478C"/>
    <w:rsid w:val="00EB65B9"/>
    <w:rsid w:val="00ED03BA"/>
    <w:rsid w:val="00EE1E61"/>
    <w:rsid w:val="00EE24E5"/>
    <w:rsid w:val="00EE69D9"/>
    <w:rsid w:val="00EF4868"/>
    <w:rsid w:val="00F0096C"/>
    <w:rsid w:val="00F15800"/>
    <w:rsid w:val="00F15C00"/>
    <w:rsid w:val="00F3090A"/>
    <w:rsid w:val="00F32768"/>
    <w:rsid w:val="00F64DC1"/>
    <w:rsid w:val="00F72949"/>
    <w:rsid w:val="00F77D5C"/>
    <w:rsid w:val="00F849A4"/>
    <w:rsid w:val="00FD3F3C"/>
    <w:rsid w:val="00FE355A"/>
    <w:rsid w:val="00FE6DA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429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23304-3522-4353-8F0A-8C4D8A4C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3635</Words>
  <Characters>20725</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14</cp:revision>
  <dcterms:created xsi:type="dcterms:W3CDTF">2023-11-15T10:30:00Z</dcterms:created>
  <dcterms:modified xsi:type="dcterms:W3CDTF">2024-01-25T11:44:00Z</dcterms:modified>
  <dc:language>en-GB</dc:language>
</cp:coreProperties>
</file>